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0421"/>
      </w:tblGrid>
      <w:tr>
        <w:tblPrEx/>
        <w:trPr>
          <w:trHeight w:val="3402"/>
        </w:trPr>
        <w:tc>
          <w:tcPr>
            <w:tcW w:w="1042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89535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82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6.00pt;height:70.5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line="360" w:lineRule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</w:r>
          </w:p>
          <w:p>
            <w:pPr>
              <w:pStyle w:val="673"/>
              <w:jc w:val="center"/>
              <w:spacing w:before="0" w:after="0" w:line="360" w:lineRule="auto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outlineLvl w:val="1"/>
            </w:pPr>
            <w:r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З</w:t>
            </w:r>
            <w:r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r>
          </w:p>
          <w:p>
            <w:pPr>
              <w:pStyle w:val="673"/>
              <w:jc w:val="center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 xml:space="preserve">ГУБЕРНАТОРА СМОЛЕНСКОЙ ОБЛАСТИ</w:t>
            </w:r>
            <w:r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r>
          </w:p>
          <w:p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</w:r>
            <w:r>
              <w:rPr>
                <w:color w:val="7030a0"/>
                <w:sz w:val="24"/>
              </w:rPr>
            </w:r>
          </w:p>
          <w:p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r/>
            <w:bookmarkEnd w:id="0"/>
            <w:r>
              <w:rPr>
                <w:color w:val="7030a0"/>
                <w:sz w:val="24"/>
                <w:szCs w:val="24"/>
              </w:rPr>
              <w:t xml:space="preserve"> _________________  № ___________ </w:t>
            </w:r>
            <w:bookmarkStart w:id="1" w:name="NUM"/>
            <w:r/>
            <w:bookmarkEnd w:id="1"/>
            <w:r/>
            <w:r>
              <w:rPr>
                <w:color w:val="7030a0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both"/>
        <w:shd w:val="clear" w:color="auto" w:fill="ffffff" w:themeFill="background1"/>
        <w:tabs>
          <w:tab w:val="right" w:pos="513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auto" w:fill="ffffff" w:themeFill="background1"/>
        <w:tabs>
          <w:tab w:val="right" w:pos="51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5136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     внесении        изменений      в                                                                                         </w:t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513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Указ    Губернатора   Смоленской </w:t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513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области    от    11.11.2021   № 120</w:t>
      </w:r>
      <w:r>
        <w:rPr>
          <w:sz w:val="28"/>
          <w:szCs w:val="28"/>
          <w:highlight w:val="white"/>
        </w:rPr>
      </w:r>
    </w:p>
    <w:p>
      <w:pPr>
        <w:jc w:val="right"/>
        <w:spacing w:after="1" w:line="280" w:lineRule="atLeast"/>
      </w:pPr>
      <w:r/>
      <w:r/>
    </w:p>
    <w:p>
      <w:pPr>
        <w:jc w:val="both"/>
        <w:spacing w:after="1" w:line="280" w:lineRule="atLeast"/>
      </w:pPr>
      <w:r>
        <w:t xml:space="preserve"> </w:t>
      </w:r>
      <w:r/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 о с т а н о в л я ю: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в Указ Губернатора Смоленской области от 11.11.2021 № 120 «О региональной системе мониторинга наркоситуации</w:t>
      </w:r>
      <w:r>
        <w:rPr>
          <w:sz w:val="28"/>
          <w:szCs w:val="28"/>
          <w:lang w:eastAsia="ar-SA"/>
        </w:rPr>
        <w:t xml:space="preserve"> в Смоленской области» (в редакции указов Губернатора Смоленской области от 13.01.2022 № 1, от 22.12.2023 № 44, от 02.02.2024 № 11) следующие изменения: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в преамбуле слова «</w:t>
      </w:r>
      <w:r>
        <w:rPr>
          <w:sz w:val="28"/>
          <w:szCs w:val="28"/>
        </w:rPr>
        <w:t xml:space="preserve">органов исполнительной власти субъектов Российской Федерации» </w:t>
      </w:r>
      <w:r>
        <w:rPr>
          <w:sz w:val="28"/>
          <w:szCs w:val="28"/>
          <w:lang w:eastAsia="ar-SA"/>
        </w:rPr>
        <w:t xml:space="preserve">заменить словами «и</w:t>
      </w:r>
      <w:r>
        <w:rPr>
          <w:sz w:val="28"/>
          <w:szCs w:val="28"/>
          <w:lang w:eastAsia="ar-SA"/>
        </w:rPr>
        <w:t xml:space="preserve">сполнительных органов </w:t>
      </w:r>
      <w:r>
        <w:rPr>
          <w:sz w:val="28"/>
          <w:szCs w:val="28"/>
        </w:rPr>
        <w:t xml:space="preserve">субъектов Российской Федерации</w:t>
      </w:r>
      <w:r>
        <w:rPr>
          <w:sz w:val="28"/>
          <w:szCs w:val="28"/>
          <w:lang w:eastAsia="ar-SA"/>
        </w:rPr>
        <w:t xml:space="preserve">»;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в абзаце первом пункта 2 слова «(Л.Г. Ковалева)» заменить словами «(Д.М. Королев)», слова «Министерством занятости населения и трудовой миграции Смоленской области» заменить словами «Министерством т</w:t>
      </w:r>
      <w:r>
        <w:rPr>
          <w:sz w:val="28"/>
          <w:szCs w:val="28"/>
          <w:lang w:eastAsia="ar-SA"/>
        </w:rPr>
        <w:t xml:space="preserve">руда и занятости населения Смоленской области»;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в пункте 4 слова «(И.В. Борисенко)» заменить словами «(П.Ю. Мухин)»;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в Положении об осуществлении мониторинга наркоситуации в Смоленской области, утвержденном указанным Указом: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абзаце четвертом разд</w:t>
      </w:r>
      <w:r>
        <w:rPr>
          <w:sz w:val="28"/>
          <w:szCs w:val="28"/>
          <w:lang w:eastAsia="ar-SA"/>
        </w:rPr>
        <w:t xml:space="preserve">ела 3 слова «муниципальных районов» заменить словами «муниципальных округов»;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десятый пункта 4.6 раздела 4 изложить в следующей редакции:       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«Министерством труда и занятости населения Смоленской области;»;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приложения № 1, 2 изложить в новой р</w:t>
      </w:r>
      <w:r>
        <w:rPr>
          <w:sz w:val="28"/>
          <w:szCs w:val="28"/>
          <w:lang w:eastAsia="ar-SA"/>
        </w:rPr>
        <w:t xml:space="preserve">едакции (прилагаются). </w:t>
      </w:r>
      <w:r>
        <w:rPr>
          <w:sz w:val="28"/>
          <w:szCs w:val="28"/>
          <w:lang w:eastAsia="ar-SA"/>
        </w:rPr>
      </w:r>
    </w:p>
    <w:p>
      <w:pPr>
        <w:jc w:val="both"/>
        <w:widowControl w:val="off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both"/>
        <w:widowControl w:val="off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В.Н. Анохин</w:t>
      </w:r>
      <w:r>
        <w:rPr>
          <w:sz w:val="28"/>
          <w:szCs w:val="28"/>
        </w:rPr>
      </w:r>
    </w:p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  <w:t xml:space="preserve">                                                                            Приложение № 1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   к Положению об           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осуществлении</w:t>
      </w:r>
      <w:r>
        <w:rPr>
          <w:sz w:val="28"/>
          <w:szCs w:val="28"/>
          <w:lang w:eastAsia="ar-SA"/>
        </w:rPr>
      </w:r>
    </w:p>
    <w:p>
      <w:pPr>
        <w:jc w:val="right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мониторинга наркоситуации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в Смоленской области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 xml:space="preserve"> (в редакции Указа </w:t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 xml:space="preserve">Губернатора Смоленской</w:t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     области от________ №____)</w:t>
      </w:r>
      <w:r>
        <w:rPr>
          <w:sz w:val="28"/>
          <w:szCs w:val="28"/>
          <w:lang w:eastAsia="ar-SA"/>
        </w:rPr>
      </w:r>
    </w:p>
    <w:p>
      <w:pPr>
        <w:pStyle w:val="860"/>
        <w:jc w:val="both"/>
      </w:pPr>
      <w:r/>
      <w:r/>
    </w:p>
    <w:p>
      <w:pPr>
        <w:pStyle w:val="861"/>
        <w:jc w:val="center"/>
      </w:pPr>
      <w:r/>
      <w:bookmarkStart w:id="2" w:name="undefined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мониторинга наркоситуации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Смоленской области</w:t>
      </w:r>
      <w:r/>
    </w:p>
    <w:p>
      <w:pPr>
        <w:pStyle w:val="860"/>
        <w:ind w:firstLine="54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Настоящий Порядок определяет состав участников мониторинга наркоситуации, ответственных за представление информации для осуществления мониторинга наркоситуации в Смоленской области, а также перечень, форму и сроки представления информации участниками мони</w:t>
      </w:r>
      <w:r>
        <w:rPr>
          <w:sz w:val="28"/>
          <w:szCs w:val="28"/>
          <w:lang w:eastAsia="ar-SA"/>
        </w:rPr>
        <w:t xml:space="preserve">торинга наркоситуации.</w:t>
      </w:r>
      <w:r>
        <w:rPr>
          <w:sz w:val="28"/>
          <w:szCs w:val="28"/>
          <w:lang w:eastAsia="ar-SA"/>
        </w:rPr>
      </w:r>
    </w:p>
    <w:p>
      <w:pPr>
        <w:pStyle w:val="860"/>
        <w:jc w:val="both"/>
      </w:pPr>
      <w:r/>
      <w:r/>
    </w:p>
    <w:tbl>
      <w:tblPr>
        <w:tblW w:w="10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2551"/>
        <w:gridCol w:w="3968"/>
      </w:tblGrid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Наименование участника мониторинга наркоситуации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Наименование информации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Срок представления информации в аппарат Комиссии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Управление Министерства внутренних дел Российской Федерации по Смоленской области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20 февраля </w:t>
            </w:r>
            <w:r>
              <w:rPr>
                <w:color w:val="000000"/>
                <w:sz w:val="24"/>
                <w:szCs w:val="24"/>
              </w:rPr>
              <w:t xml:space="preserve">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0" w:tooltip="https://login.consultant.ru/link/?req=doc&amp;base=LAW&amp;n=445149&amp;dst=100966" w:history="1">
              <w:r>
                <w:rPr>
                  <w:color w:val="000000"/>
                  <w:sz w:val="24"/>
                  <w:szCs w:val="24"/>
                </w:rPr>
                <w:t xml:space="preserve">приложениям № 2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11" w:tooltip="https://login.consultant.ru/link/?req=doc&amp;base=LAW&amp;n=445149&amp;dst=101570" w:history="1">
              <w:r>
                <w:rPr>
                  <w:color w:val="000000"/>
                  <w:sz w:val="24"/>
                  <w:szCs w:val="24"/>
                </w:rPr>
                <w:t xml:space="preserve">17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20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исполнения наказаний по Смоленской области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</w:t>
            </w:r>
            <w:r>
              <w:rPr>
                <w:color w:val="000000"/>
                <w:sz w:val="24"/>
                <w:szCs w:val="24"/>
              </w:rPr>
              <w:t xml:space="preserve">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2" w:tooltip="https://login.consultant.ru/link/?req=doc&amp;base=LAW&amp;n=445149&amp;dst=101607" w:history="1">
              <w:r>
                <w:rPr>
                  <w:color w:val="000000"/>
                  <w:sz w:val="24"/>
                  <w:szCs w:val="24"/>
                </w:rPr>
                <w:t xml:space="preserve">приложениям № 18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3" w:tooltip="https://login.consultant.ru/link/?req=doc&amp;base=LAW&amp;n=445149&amp;dst=101692" w:history="1">
              <w:r>
                <w:rPr>
                  <w:color w:val="000000"/>
                  <w:sz w:val="24"/>
                  <w:szCs w:val="24"/>
                </w:rPr>
                <w:t xml:space="preserve">19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Смоленская таможня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14" w:tooltip="https://login.consultant.ru/link/?req=doc&amp;base=LAW&amp;n=445149&amp;dst=101743" w:history="1">
              <w:r>
                <w:rPr>
                  <w:color w:val="000000"/>
                  <w:sz w:val="24"/>
                  <w:szCs w:val="24"/>
                </w:rPr>
                <w:t xml:space="preserve">приложению № 20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Территориальный орган Федеральной службы государственной статистики по Смоленской области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15" w:tooltip="https://login.consultant.ru/link/?req=doc&amp;base=LAW&amp;n=445149&amp;dst=101775" w:history="1">
              <w:r>
                <w:rPr>
                  <w:color w:val="000000"/>
                  <w:sz w:val="24"/>
                  <w:szCs w:val="24"/>
                </w:rPr>
                <w:t xml:space="preserve">приложению № 21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 (за год, предшествующий отчетному)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</w:t>
            </w:r>
            <w:r>
              <w:rPr>
                <w:color w:val="000000"/>
                <w:sz w:val="24"/>
                <w:szCs w:val="24"/>
              </w:rPr>
              <w:t xml:space="preserve"> по Смоленской области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6" w:tooltip="https://login.consultant.ru/link/?req=doc&amp;base=LAW&amp;n=445149&amp;dst=101807" w:history="1">
              <w:r>
                <w:rPr>
                  <w:color w:val="000000"/>
                  <w:sz w:val="24"/>
                  <w:szCs w:val="24"/>
                </w:rPr>
                <w:t xml:space="preserve">приложениям № 22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7" w:tooltip="https://login.consultant.ru/link/?req=doc&amp;base=LAW&amp;n=445149&amp;dst=101939" w:history="1">
              <w:r>
                <w:rPr>
                  <w:color w:val="000000"/>
                  <w:sz w:val="24"/>
                  <w:szCs w:val="24"/>
                </w:rPr>
                <w:t xml:space="preserve">23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Управление Судебного департамента в Смоленской области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8" w:tooltip="https://login.consultant.ru/link/?req=doc&amp;base=LAW&amp;n=445149&amp;dst=102001" w:history="1">
              <w:r>
                <w:rPr>
                  <w:color w:val="000000"/>
                  <w:sz w:val="24"/>
                  <w:szCs w:val="24"/>
                </w:rPr>
                <w:t xml:space="preserve">приложениям № 24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19" w:tooltip="https://login.consultant.ru/link/?req=doc&amp;base=LAW&amp;n=445149&amp;dst=102468" w:history="1">
              <w:r>
                <w:rPr>
                  <w:color w:val="000000"/>
                  <w:sz w:val="24"/>
                  <w:szCs w:val="24"/>
                </w:rPr>
                <w:t xml:space="preserve">27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 марта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здравоохранения Смоленской области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20" w:tooltip="https://login.consultant.ru/link/?req=doc&amp;base=LAW&amp;n=445149&amp;dst=102547" w:history="1">
              <w:r>
                <w:rPr>
                  <w:color w:val="000000"/>
                  <w:sz w:val="24"/>
                  <w:szCs w:val="24"/>
                </w:rPr>
                <w:t xml:space="preserve">приложениям № 28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21" w:tooltip="https://login.consultant.ru/link/?req=doc&amp;base=LAW&amp;n=445149&amp;dst=102808" w:history="1">
              <w:r>
                <w:rPr>
                  <w:color w:val="000000"/>
                  <w:sz w:val="24"/>
                  <w:szCs w:val="24"/>
                </w:rPr>
                <w:t xml:space="preserve">34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и науки Смоленской области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22" w:tooltip="https://login.consultant.ru/link/?req=doc&amp;base=LAW&amp;n=445149&amp;dst=102834" w:history="1">
              <w:r>
                <w:rPr>
                  <w:color w:val="000000"/>
                  <w:sz w:val="24"/>
                  <w:szCs w:val="24"/>
                </w:rPr>
                <w:t xml:space="preserve">приложению № 35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социального развития Смоленской области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23" w:tooltip="https://login.consultant.ru/link/?req=doc&amp;base=LAW&amp;n=445149&amp;dst=102868" w:history="1">
              <w:r>
                <w:rPr>
                  <w:color w:val="000000"/>
                  <w:sz w:val="24"/>
                  <w:szCs w:val="24"/>
                </w:rPr>
                <w:t xml:space="preserve">приложениям № 36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24" w:tooltip="https://login.consultant.ru/link/?req=doc&amp;base=LAW&amp;n=445149&amp;dst=102880" w:history="1">
              <w:r>
                <w:rPr>
                  <w:color w:val="000000"/>
                  <w:sz w:val="24"/>
                  <w:szCs w:val="24"/>
                </w:rPr>
                <w:t xml:space="preserve">37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10.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Федеральное казенное учреждение «Военный </w:t>
            </w:r>
            <w:r>
              <w:rPr>
                <w:color w:val="000000"/>
                <w:sz w:val="24"/>
                <w:szCs w:val="24"/>
              </w:rPr>
              <w:t xml:space="preserve">комиссариат Смоленской области» (по согласованию)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25" w:tooltip="https://login.consultant.ru/link/?req=doc&amp;base=LAW&amp;n=445149&amp;dst=102903" w:history="1">
              <w:r>
                <w:rPr>
                  <w:color w:val="000000"/>
                  <w:sz w:val="24"/>
                  <w:szCs w:val="24"/>
                </w:rPr>
                <w:t xml:space="preserve">приложению № 38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 Порядку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11.</w:t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Министерство труда и занятости населения Смоленской области</w:t>
            </w:r>
            <w:r>
              <w:rPr>
                <w:color w:val="000000"/>
                <w:sz w:val="24"/>
                <w:szCs w:val="24"/>
              </w:rPr>
              <w:t xml:space="preserve">, Министерство культуры и туризма Смоленской области, Минис</w:t>
            </w:r>
            <w:r>
              <w:rPr>
                <w:color w:val="000000"/>
                <w:sz w:val="24"/>
                <w:szCs w:val="24"/>
              </w:rPr>
              <w:t xml:space="preserve">терство Смоленской области по внутренней политике, Министерство спорта Смоленской области, Министерство сельского хозяйства и продовольствия Смоленской области, Главное управление Смоленской области по делам молодежи и гражданско-патриотическому воспитанию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tooltip="#P114" w:anchor="P114" w:history="1">
              <w:r>
                <w:rPr>
                  <w:color w:val="000000"/>
                  <w:sz w:val="24"/>
                  <w:szCs w:val="24"/>
                </w:rPr>
                <w:t xml:space="preserve"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отчетным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60"/>
        <w:jc w:val="both"/>
      </w:pPr>
      <w:r/>
      <w:r/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sz w:val="28"/>
          <w:szCs w:val="28"/>
          <w:lang w:eastAsia="ar-SA"/>
        </w:rPr>
        <w:t xml:space="preserve">                                                                            Приложение № 2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   к Положению об           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</w:t>
      </w:r>
      <w:r>
        <w:rPr>
          <w:sz w:val="28"/>
          <w:szCs w:val="28"/>
          <w:lang w:eastAsia="ar-SA"/>
        </w:rPr>
        <w:t xml:space="preserve">          осуществлении</w:t>
      </w:r>
      <w:r>
        <w:rPr>
          <w:sz w:val="28"/>
          <w:szCs w:val="28"/>
          <w:lang w:eastAsia="ar-SA"/>
        </w:rPr>
      </w:r>
    </w:p>
    <w:p>
      <w:pPr>
        <w:jc w:val="right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мониторинга наркоситуации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в Смоленской области</w:t>
      </w:r>
      <w:r>
        <w:rPr>
          <w:sz w:val="28"/>
          <w:szCs w:val="28"/>
          <w:lang w:eastAsia="ar-SA"/>
        </w:rPr>
      </w:r>
    </w:p>
    <w:p>
      <w:pPr>
        <w:jc w:val="center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 xml:space="preserve">   (в редакции Указа </w:t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Губернатора Смоленской</w:t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     области от________ №____)</w:t>
      </w:r>
      <w:r>
        <w:rPr>
          <w:sz w:val="28"/>
          <w:szCs w:val="28"/>
          <w:lang w:eastAsia="ar-SA"/>
        </w:rPr>
      </w:r>
    </w:p>
    <w:p>
      <w:pPr>
        <w:jc w:val="right"/>
        <w:widowControl w:val="off"/>
        <w:rPr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eastAsia="ar-SA"/>
        </w:rPr>
        <w:t xml:space="preserve">       </w:t>
      </w:r>
      <w:r>
        <w:rPr>
          <w:rFonts w:ascii="Calibri" w:hAnsi="Calibri" w:eastAsia="Calibri" w:cs="Calibri"/>
          <w:color w:val="000000"/>
          <w:sz w:val="22"/>
        </w:rPr>
        <w:t xml:space="preserve"> </w:t>
      </w:r>
      <w:r>
        <w:rPr>
          <w:sz w:val="28"/>
          <w:szCs w:val="28"/>
          <w:lang w:eastAsia="ar-SA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Смоленской области,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которым участники мониторинга наркоситуации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информацию для осуществления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мониторинга наркоситуации в Смоленской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spacing w:before="6"/>
        <w:tabs>
          <w:tab w:val="left" w:pos="60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>
        <w:tblPrEx/>
        <w:trPr>
          <w:trHeight w:val="422"/>
        </w:trPr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Городской округ Смол</w:t>
            </w:r>
            <w:bookmarkStart w:id="3" w:name="_GoBack"/>
            <w:r/>
            <w:bookmarkEnd w:id="3"/>
            <w:r>
              <w:rPr>
                <w:color w:val="000000"/>
                <w:sz w:val="24"/>
                <w:szCs w:val="24"/>
              </w:rPr>
              <w:t xml:space="preserve">енск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Городской округ город Десногорск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«Велижский муниципальный округ» Смоленской области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«Вяземский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«Гагаринский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«Глинковский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«Демидовский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</w:t>
            </w:r>
            <w:r>
              <w:rPr>
                <w:color w:val="000000"/>
                <w:sz w:val="24"/>
                <w:szCs w:val="24"/>
              </w:rPr>
              <w:t xml:space="preserve">альное образование «Дорогобужский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«Духовщинский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«Ельнинский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Ершичский муниципальный округ» Смоленской области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«Кардымовский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«Краснинский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</w:t>
            </w:r>
            <w:r>
              <w:rPr>
                <w:color w:val="000000"/>
                <w:sz w:val="24"/>
                <w:szCs w:val="24"/>
              </w:rPr>
              <w:t xml:space="preserve">ипальное образование «Монастырщинский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«Новодугинский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«Починковский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«Рославльский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Муниципальное образование «Руднянский муниципальный округ» Смоленской области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«Сафоновский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</w:t>
            </w:r>
            <w:r>
              <w:rPr>
                <w:color w:val="000000"/>
                <w:sz w:val="24"/>
                <w:szCs w:val="24"/>
              </w:rPr>
              <w:t xml:space="preserve">ципальное образование «Смоленский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«Сычевский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«Темкинский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«Угранский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«Хиславичский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«Холм-Жирковский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униципальное образование «Шумячский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7"/>
        </w:trPr>
        <w:tc>
          <w:tcPr>
            <w:tcW w:w="675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«Ярцевский муниципальный округ» Смоленской области</w:t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1134" w:left="1134" w:header="72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1"/>
    <w:link w:val="695"/>
    <w:uiPriority w:val="10"/>
    <w:rPr>
      <w:sz w:val="48"/>
      <w:szCs w:val="48"/>
    </w:rPr>
  </w:style>
  <w:style w:type="character" w:styleId="37">
    <w:name w:val="Subtitle Char"/>
    <w:basedOn w:val="681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47">
    <w:name w:val="Caption Char"/>
    <w:basedOn w:val="681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3"/>
    <w:uiPriority w:val="99"/>
    <w:rPr>
      <w:sz w:val="18"/>
    </w:rPr>
  </w:style>
  <w:style w:type="character" w:styleId="179">
    <w:name w:val="Endnote Text Char"/>
    <w:link w:val="836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672">
    <w:name w:val="Heading 1"/>
    <w:basedOn w:val="671"/>
    <w:next w:val="671"/>
    <w:link w:val="85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3">
    <w:name w:val="Heading 2"/>
    <w:basedOn w:val="671"/>
    <w:next w:val="671"/>
    <w:link w:val="85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character" w:styleId="703" w:customStyle="1">
    <w:name w:val="Header Char"/>
    <w:basedOn w:val="681"/>
    <w:uiPriority w:val="99"/>
  </w:style>
  <w:style w:type="character" w:styleId="704" w:customStyle="1">
    <w:name w:val="Footer Char"/>
    <w:basedOn w:val="681"/>
    <w:uiPriority w:val="99"/>
  </w:style>
  <w:style w:type="paragraph" w:styleId="705">
    <w:name w:val="Caption"/>
    <w:basedOn w:val="671"/>
    <w:next w:val="671"/>
    <w:link w:val="70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6" w:customStyle="1">
    <w:name w:val="Название объекта Знак"/>
    <w:basedOn w:val="681"/>
    <w:link w:val="705"/>
    <w:uiPriority w:val="35"/>
    <w:rPr>
      <w:b/>
      <w:bCs/>
      <w:color w:val="5b9bd5" w:themeColor="accent1"/>
      <w:sz w:val="18"/>
      <w:szCs w:val="18"/>
    </w:rPr>
  </w:style>
  <w:style w:type="table" w:styleId="707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71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1"/>
    <w:uiPriority w:val="99"/>
    <w:unhideWhenUsed/>
    <w:rPr>
      <w:vertAlign w:val="superscript"/>
    </w:rPr>
  </w:style>
  <w:style w:type="paragraph" w:styleId="836">
    <w:name w:val="endnote text"/>
    <w:basedOn w:val="671"/>
    <w:link w:val="837"/>
    <w:uiPriority w:val="99"/>
    <w:semiHidden/>
    <w:unhideWhenUsed/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1"/>
    <w:uiPriority w:val="99"/>
    <w:semiHidden/>
    <w:unhideWhenUsed/>
    <w:rPr>
      <w:vertAlign w:val="superscript"/>
    </w:rPr>
  </w:style>
  <w:style w:type="paragraph" w:styleId="839">
    <w:name w:val="toc 1"/>
    <w:basedOn w:val="671"/>
    <w:next w:val="671"/>
    <w:uiPriority w:val="39"/>
    <w:unhideWhenUsed/>
    <w:pPr>
      <w:spacing w:after="57"/>
    </w:pPr>
  </w:style>
  <w:style w:type="paragraph" w:styleId="84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1"/>
    <w:next w:val="671"/>
    <w:uiPriority w:val="99"/>
    <w:unhideWhenUsed/>
  </w:style>
  <w:style w:type="character" w:styleId="850" w:customStyle="1">
    <w:name w:val="Заголовок 1 Знак"/>
    <w:basedOn w:val="681"/>
    <w:link w:val="67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51" w:customStyle="1">
    <w:name w:val="Заголовок 2 Знак"/>
    <w:basedOn w:val="681"/>
    <w:link w:val="673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2">
    <w:name w:val="Header"/>
    <w:basedOn w:val="671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681"/>
    <w:link w:val="852"/>
    <w:uiPriority w:val="99"/>
    <w:rPr>
      <w:sz w:val="20"/>
      <w:szCs w:val="20"/>
    </w:rPr>
  </w:style>
  <w:style w:type="character" w:styleId="854">
    <w:name w:val="page number"/>
    <w:basedOn w:val="681"/>
    <w:uiPriority w:val="99"/>
  </w:style>
  <w:style w:type="paragraph" w:styleId="855">
    <w:name w:val="Footer"/>
    <w:basedOn w:val="671"/>
    <w:link w:val="856"/>
    <w:uiPriority w:val="99"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81"/>
    <w:link w:val="855"/>
    <w:uiPriority w:val="99"/>
    <w:semiHidden/>
    <w:rPr>
      <w:sz w:val="20"/>
      <w:szCs w:val="20"/>
    </w:rPr>
  </w:style>
  <w:style w:type="table" w:styleId="857">
    <w:name w:val="Table Grid"/>
    <w:basedOn w:val="6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Balloon Text"/>
    <w:basedOn w:val="671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681"/>
    <w:link w:val="858"/>
    <w:uiPriority w:val="99"/>
    <w:semiHidden/>
    <w:rPr>
      <w:rFonts w:ascii="Tahoma" w:hAnsi="Tahoma" w:cs="Tahoma"/>
      <w:sz w:val="16"/>
      <w:szCs w:val="16"/>
    </w:rPr>
  </w:style>
  <w:style w:type="paragraph" w:styleId="86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szCs w:val="20"/>
    </w:rPr>
  </w:style>
  <w:style w:type="paragraph" w:styleId="861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login.consultant.ru/link/?req=doc&amp;base=LAW&amp;n=445149&amp;dst=100966" TargetMode="External"/><Relationship Id="rId11" Type="http://schemas.openxmlformats.org/officeDocument/2006/relationships/hyperlink" Target="https://login.consultant.ru/link/?req=doc&amp;base=LAW&amp;n=445149&amp;dst=101570" TargetMode="External"/><Relationship Id="rId12" Type="http://schemas.openxmlformats.org/officeDocument/2006/relationships/hyperlink" Target="https://login.consultant.ru/link/?req=doc&amp;base=LAW&amp;n=445149&amp;dst=101607" TargetMode="External"/><Relationship Id="rId13" Type="http://schemas.openxmlformats.org/officeDocument/2006/relationships/hyperlink" Target="https://login.consultant.ru/link/?req=doc&amp;base=LAW&amp;n=445149&amp;dst=101692" TargetMode="External"/><Relationship Id="rId14" Type="http://schemas.openxmlformats.org/officeDocument/2006/relationships/hyperlink" Target="https://login.consultant.ru/link/?req=doc&amp;base=LAW&amp;n=445149&amp;dst=101743" TargetMode="External"/><Relationship Id="rId15" Type="http://schemas.openxmlformats.org/officeDocument/2006/relationships/hyperlink" Target="https://login.consultant.ru/link/?req=doc&amp;base=LAW&amp;n=445149&amp;dst=101775" TargetMode="External"/><Relationship Id="rId16" Type="http://schemas.openxmlformats.org/officeDocument/2006/relationships/hyperlink" Target="https://login.consultant.ru/link/?req=doc&amp;base=LAW&amp;n=445149&amp;dst=101807" TargetMode="External"/><Relationship Id="rId17" Type="http://schemas.openxmlformats.org/officeDocument/2006/relationships/hyperlink" Target="https://login.consultant.ru/link/?req=doc&amp;base=LAW&amp;n=445149&amp;dst=101939" TargetMode="External"/><Relationship Id="rId18" Type="http://schemas.openxmlformats.org/officeDocument/2006/relationships/hyperlink" Target="https://login.consultant.ru/link/?req=doc&amp;base=LAW&amp;n=445149&amp;dst=102001" TargetMode="External"/><Relationship Id="rId19" Type="http://schemas.openxmlformats.org/officeDocument/2006/relationships/hyperlink" Target="https://login.consultant.ru/link/?req=doc&amp;base=LAW&amp;n=445149&amp;dst=102468" TargetMode="External"/><Relationship Id="rId20" Type="http://schemas.openxmlformats.org/officeDocument/2006/relationships/hyperlink" Target="https://login.consultant.ru/link/?req=doc&amp;base=LAW&amp;n=445149&amp;dst=102547" TargetMode="External"/><Relationship Id="rId21" Type="http://schemas.openxmlformats.org/officeDocument/2006/relationships/hyperlink" Target="https://login.consultant.ru/link/?req=doc&amp;base=LAW&amp;n=445149&amp;dst=102808" TargetMode="External"/><Relationship Id="rId22" Type="http://schemas.openxmlformats.org/officeDocument/2006/relationships/hyperlink" Target="https://login.consultant.ru/link/?req=doc&amp;base=LAW&amp;n=445149&amp;dst=102834" TargetMode="External"/><Relationship Id="rId23" Type="http://schemas.openxmlformats.org/officeDocument/2006/relationships/hyperlink" Target="https://login.consultant.ru/link/?req=doc&amp;base=LAW&amp;n=445149&amp;dst=102868" TargetMode="External"/><Relationship Id="rId24" Type="http://schemas.openxmlformats.org/officeDocument/2006/relationships/hyperlink" Target="https://login.consultant.ru/link/?req=doc&amp;base=LAW&amp;n=445149&amp;dst=102880" TargetMode="External"/><Relationship Id="rId25" Type="http://schemas.openxmlformats.org/officeDocument/2006/relationships/hyperlink" Target="https://login.consultant.ru/link/?req=doc&amp;base=LAW&amp;n=445149&amp;dst=1029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Stolyrova_EA</cp:lastModifiedBy>
  <cp:revision>28</cp:revision>
  <dcterms:created xsi:type="dcterms:W3CDTF">2021-04-01T08:06:00Z</dcterms:created>
  <dcterms:modified xsi:type="dcterms:W3CDTF">2025-06-20T08:37:56Z</dcterms:modified>
</cp:coreProperties>
</file>